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D616A" w14:textId="5B986503" w:rsidR="00D64FC5" w:rsidRPr="00462023" w:rsidRDefault="00BC574A" w:rsidP="00930A92">
      <w:pPr>
        <w:spacing w:line="240" w:lineRule="auto"/>
        <w:jc w:val="left"/>
        <w:rPr>
          <w:rFonts w:ascii="Calibri" w:eastAsia="Times New Roman" w:hAnsi="Calibri" w:cs="Calibri"/>
          <w:color w:val="000000"/>
          <w:sz w:val="22"/>
          <w:lang w:val="fr-FR"/>
        </w:rPr>
      </w:pPr>
      <w:r w:rsidRPr="00462023">
        <w:rPr>
          <w:rFonts w:asciiTheme="minorHAnsi" w:hAnsiTheme="minorHAnsi" w:cstheme="minorHAnsi"/>
          <w:b/>
          <w:bCs/>
          <w:lang w:val="fr-FR"/>
        </w:rPr>
        <w:t>Association</w:t>
      </w:r>
      <w:r w:rsidRPr="00462023">
        <w:rPr>
          <w:rFonts w:asciiTheme="minorHAnsi" w:hAnsiTheme="minorHAnsi" w:cstheme="minorHAnsi"/>
          <w:lang w:val="fr-FR"/>
        </w:rPr>
        <w:t xml:space="preserve"> :</w:t>
      </w:r>
      <w:r w:rsidR="00D64FC5" w:rsidRPr="00462023">
        <w:rPr>
          <w:rFonts w:asciiTheme="minorHAnsi" w:hAnsiTheme="minorHAnsi" w:cstheme="minorHAnsi"/>
          <w:lang w:val="fr-FR"/>
        </w:rPr>
        <w:t xml:space="preserve"> </w:t>
      </w:r>
      <w:r w:rsidR="009061CE" w:rsidRPr="00462023">
        <w:rPr>
          <w:rFonts w:ascii="Calibri" w:eastAsia="Times New Roman" w:hAnsi="Calibri" w:cs="Calibri"/>
          <w:i/>
          <w:color w:val="000000"/>
          <w:sz w:val="22"/>
          <w:lang w:val="fr-FR"/>
        </w:rPr>
        <w:t>Instituto dos Actuários Portugueses (IAP)</w:t>
      </w:r>
      <w:r w:rsidR="00E87803" w:rsidRPr="00462023">
        <w:rPr>
          <w:rFonts w:ascii="Calibri" w:eastAsia="Times New Roman" w:hAnsi="Calibri" w:cs="Calibri"/>
          <w:color w:val="000000"/>
          <w:sz w:val="22"/>
          <w:lang w:val="fr-FR"/>
        </w:rPr>
        <w:t>.</w:t>
      </w:r>
    </w:p>
    <w:p w14:paraId="7A96B1C3" w14:textId="022E76FC" w:rsidR="001102AA" w:rsidRPr="00462023" w:rsidRDefault="001102AA" w:rsidP="00930A92">
      <w:pPr>
        <w:spacing w:after="0" w:line="240" w:lineRule="auto"/>
        <w:jc w:val="left"/>
        <w:rPr>
          <w:rFonts w:asciiTheme="minorHAnsi" w:hAnsiTheme="minorHAnsi" w:cstheme="minorHAnsi"/>
          <w:lang w:val="fr-FR"/>
        </w:rPr>
      </w:pPr>
    </w:p>
    <w:p w14:paraId="742E3EDB" w14:textId="77777777" w:rsidR="000F5D5A" w:rsidRPr="00C37024" w:rsidRDefault="001102AA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C37024">
        <w:rPr>
          <w:rFonts w:asciiTheme="minorHAnsi" w:hAnsiTheme="minorHAnsi" w:cstheme="minorHAnsi"/>
          <w:b/>
          <w:bCs/>
          <w:lang w:val="en-GB"/>
        </w:rPr>
        <w:t>Education route</w:t>
      </w:r>
      <w:r w:rsidR="00D64FC5" w:rsidRPr="00C37024">
        <w:rPr>
          <w:rFonts w:asciiTheme="minorHAnsi" w:hAnsiTheme="minorHAnsi" w:cstheme="minorHAnsi"/>
          <w:lang w:val="en-GB"/>
        </w:rPr>
        <w:t xml:space="preserve">: </w:t>
      </w:r>
    </w:p>
    <w:p w14:paraId="06889736" w14:textId="116C90A8" w:rsidR="007742D3" w:rsidRPr="00C37024" w:rsidRDefault="00D64FC5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C37024">
        <w:rPr>
          <w:rFonts w:asciiTheme="minorHAnsi" w:hAnsiTheme="minorHAnsi" w:cstheme="minorHAnsi"/>
          <w:lang w:val="en-GB"/>
        </w:rPr>
        <w:t xml:space="preserve">The </w:t>
      </w:r>
      <w:r w:rsidR="006A654D" w:rsidRPr="00C37024">
        <w:rPr>
          <w:rFonts w:asciiTheme="minorHAnsi" w:hAnsiTheme="minorHAnsi" w:cstheme="minorHAnsi"/>
          <w:lang w:val="en-GB"/>
        </w:rPr>
        <w:t xml:space="preserve">institute </w:t>
      </w:r>
      <w:r w:rsidR="001C75EE">
        <w:rPr>
          <w:rFonts w:asciiTheme="minorHAnsi" w:hAnsiTheme="minorHAnsi" w:cstheme="minorHAnsi"/>
          <w:lang w:val="en-GB"/>
        </w:rPr>
        <w:t>has</w:t>
      </w:r>
      <w:r w:rsidR="006A654D" w:rsidRPr="00C37024">
        <w:rPr>
          <w:rFonts w:asciiTheme="minorHAnsi" w:hAnsiTheme="minorHAnsi" w:cstheme="minorHAnsi"/>
          <w:lang w:val="en-GB"/>
        </w:rPr>
        <w:t xml:space="preserve"> </w:t>
      </w:r>
      <w:r w:rsidR="001C75EE" w:rsidRPr="00C37024">
        <w:rPr>
          <w:rFonts w:asciiTheme="minorHAnsi" w:hAnsiTheme="minorHAnsi" w:cstheme="minorHAnsi"/>
          <w:lang w:val="en-GB"/>
        </w:rPr>
        <w:t>two</w:t>
      </w:r>
      <w:r w:rsidR="00514AF0" w:rsidRPr="00C37024">
        <w:rPr>
          <w:rFonts w:asciiTheme="minorHAnsi" w:hAnsiTheme="minorHAnsi" w:cstheme="minorHAnsi"/>
          <w:lang w:val="en-GB"/>
        </w:rPr>
        <w:t xml:space="preserve"> actuarial qualification </w:t>
      </w:r>
      <w:r w:rsidR="00DF2E9A" w:rsidRPr="00C37024">
        <w:rPr>
          <w:rFonts w:asciiTheme="minorHAnsi" w:hAnsiTheme="minorHAnsi" w:cstheme="minorHAnsi"/>
          <w:lang w:val="en-GB"/>
        </w:rPr>
        <w:t>routes,</w:t>
      </w:r>
      <w:r w:rsidR="00514AF0" w:rsidRPr="00C37024">
        <w:rPr>
          <w:rFonts w:asciiTheme="minorHAnsi" w:hAnsiTheme="minorHAnsi" w:cstheme="minorHAnsi"/>
          <w:lang w:val="en-GB"/>
        </w:rPr>
        <w:t xml:space="preserve"> </w:t>
      </w:r>
      <w:r w:rsidR="00982C08" w:rsidRPr="00C37024">
        <w:rPr>
          <w:rFonts w:asciiTheme="minorHAnsi" w:hAnsiTheme="minorHAnsi" w:cstheme="minorHAnsi"/>
          <w:lang w:val="en-GB"/>
        </w:rPr>
        <w:t xml:space="preserve">and both consists of a combination of </w:t>
      </w:r>
      <w:r w:rsidR="00C14FA5" w:rsidRPr="00C37024">
        <w:rPr>
          <w:rFonts w:asciiTheme="minorHAnsi" w:hAnsiTheme="minorHAnsi" w:cstheme="minorHAnsi"/>
          <w:lang w:val="en-GB"/>
        </w:rPr>
        <w:t>university and association.</w:t>
      </w:r>
    </w:p>
    <w:p w14:paraId="16334730" w14:textId="77777777" w:rsidR="00EF070B" w:rsidRPr="00C37024" w:rsidRDefault="00EF070B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</w:p>
    <w:p w14:paraId="2235A4CA" w14:textId="77777777" w:rsidR="00C35BDE" w:rsidRPr="00C37024" w:rsidRDefault="00FE4129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C37024">
        <w:rPr>
          <w:rFonts w:asciiTheme="minorHAnsi" w:hAnsiTheme="minorHAnsi" w:cstheme="minorHAnsi"/>
          <w:lang w:val="en-GB"/>
        </w:rPr>
        <w:t>T</w:t>
      </w:r>
      <w:r w:rsidR="00FD415E" w:rsidRPr="00C37024">
        <w:rPr>
          <w:rFonts w:asciiTheme="minorHAnsi" w:hAnsiTheme="minorHAnsi" w:cstheme="minorHAnsi"/>
          <w:lang w:val="en-GB"/>
        </w:rPr>
        <w:t xml:space="preserve">he university </w:t>
      </w:r>
      <w:r w:rsidR="00265BA6" w:rsidRPr="00C37024">
        <w:rPr>
          <w:rFonts w:asciiTheme="minorHAnsi" w:hAnsiTheme="minorHAnsi" w:cstheme="minorHAnsi"/>
          <w:lang w:val="en-GB"/>
        </w:rPr>
        <w:t xml:space="preserve">part is taking place as a BSc (180 ETCS) plus MSc (120 ECTS) </w:t>
      </w:r>
      <w:r w:rsidR="006A6431" w:rsidRPr="00C37024">
        <w:rPr>
          <w:rFonts w:asciiTheme="minorHAnsi" w:hAnsiTheme="minorHAnsi" w:cstheme="minorHAnsi"/>
          <w:lang w:val="en-GB"/>
        </w:rPr>
        <w:t xml:space="preserve">either </w:t>
      </w:r>
      <w:r w:rsidR="00265BA6" w:rsidRPr="00C37024">
        <w:rPr>
          <w:rFonts w:asciiTheme="minorHAnsi" w:hAnsiTheme="minorHAnsi" w:cstheme="minorHAnsi"/>
          <w:lang w:val="en-GB"/>
        </w:rPr>
        <w:t xml:space="preserve">at University of </w:t>
      </w:r>
      <w:r w:rsidR="006A6431" w:rsidRPr="00C37024">
        <w:rPr>
          <w:rFonts w:asciiTheme="minorHAnsi" w:hAnsiTheme="minorHAnsi" w:cstheme="minorHAnsi"/>
          <w:lang w:val="en-GB"/>
        </w:rPr>
        <w:t>Lisbon</w:t>
      </w:r>
      <w:r w:rsidR="00472DCE" w:rsidRPr="00C37024">
        <w:rPr>
          <w:rFonts w:asciiTheme="minorHAnsi" w:hAnsiTheme="minorHAnsi" w:cstheme="minorHAnsi"/>
          <w:lang w:val="en-GB"/>
        </w:rPr>
        <w:t xml:space="preserve"> (Lisbon School of Economics and Management - Master Programme in Actuarial Science)</w:t>
      </w:r>
      <w:r w:rsidR="00265BA6" w:rsidRPr="00C37024">
        <w:rPr>
          <w:rFonts w:asciiTheme="minorHAnsi" w:hAnsiTheme="minorHAnsi" w:cstheme="minorHAnsi"/>
          <w:lang w:val="en-GB"/>
        </w:rPr>
        <w:t xml:space="preserve"> or the NOVA </w:t>
      </w:r>
      <w:r w:rsidR="00BD682F" w:rsidRPr="00C37024">
        <w:rPr>
          <w:rFonts w:asciiTheme="minorHAnsi" w:hAnsiTheme="minorHAnsi" w:cstheme="minorHAnsi"/>
          <w:lang w:val="en-GB"/>
        </w:rPr>
        <w:t>School of Science and Technology</w:t>
      </w:r>
      <w:r w:rsidR="005203F6" w:rsidRPr="00C37024">
        <w:rPr>
          <w:rFonts w:asciiTheme="minorHAnsi" w:hAnsiTheme="minorHAnsi" w:cstheme="minorHAnsi"/>
          <w:lang w:val="en-GB"/>
        </w:rPr>
        <w:t>.</w:t>
      </w:r>
      <w:r w:rsidRPr="00C37024">
        <w:rPr>
          <w:rFonts w:asciiTheme="minorHAnsi" w:hAnsiTheme="minorHAnsi" w:cstheme="minorHAnsi"/>
          <w:lang w:val="en-GB"/>
        </w:rPr>
        <w:t xml:space="preserve"> </w:t>
      </w:r>
    </w:p>
    <w:p w14:paraId="37D0A833" w14:textId="1F553096" w:rsidR="00D64FC5" w:rsidRPr="00C37024" w:rsidRDefault="00FE4129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C37024">
        <w:rPr>
          <w:rFonts w:asciiTheme="minorHAnsi" w:hAnsiTheme="minorHAnsi" w:cstheme="minorHAnsi"/>
          <w:lang w:val="en-GB"/>
        </w:rPr>
        <w:t>The association part covers mainly courses within communication, professionalism and problem solving and decision making.</w:t>
      </w:r>
    </w:p>
    <w:p w14:paraId="28EBD6D7" w14:textId="7A9DB318" w:rsidR="00D64FC5" w:rsidRPr="00C37024" w:rsidRDefault="00D64FC5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</w:p>
    <w:p w14:paraId="0EEC9A61" w14:textId="3F123179" w:rsidR="00D64FC5" w:rsidRPr="00C37024" w:rsidRDefault="002931A4" w:rsidP="00930A92">
      <w:pPr>
        <w:spacing w:after="0" w:line="240" w:lineRule="auto"/>
        <w:jc w:val="left"/>
        <w:rPr>
          <w:rFonts w:asciiTheme="minorHAnsi" w:hAnsiTheme="minorHAnsi" w:cstheme="minorHAnsi"/>
          <w:b/>
          <w:lang w:val="en-GB"/>
        </w:rPr>
      </w:pPr>
      <w:r w:rsidRPr="00C37024">
        <w:rPr>
          <w:rFonts w:asciiTheme="minorHAnsi" w:hAnsiTheme="minorHAnsi" w:cstheme="minorHAnsi"/>
          <w:b/>
          <w:lang w:val="en-GB"/>
        </w:rPr>
        <w:t>Assessment p</w:t>
      </w:r>
      <w:r w:rsidR="00D64FC5" w:rsidRPr="00C37024">
        <w:rPr>
          <w:rFonts w:asciiTheme="minorHAnsi" w:hAnsiTheme="minorHAnsi" w:cstheme="minorHAnsi"/>
          <w:b/>
          <w:lang w:val="en-GB"/>
        </w:rPr>
        <w:t>rocess:</w:t>
      </w:r>
    </w:p>
    <w:p w14:paraId="71AC6E20" w14:textId="2D577651" w:rsidR="00E4168A" w:rsidRPr="00C37024" w:rsidRDefault="00E4168A" w:rsidP="00930A92">
      <w:pPr>
        <w:spacing w:after="0" w:line="240" w:lineRule="auto"/>
        <w:jc w:val="left"/>
        <w:rPr>
          <w:lang w:val="en-GB"/>
        </w:rPr>
      </w:pPr>
      <w:r w:rsidRPr="00C37024">
        <w:rPr>
          <w:rFonts w:asciiTheme="minorHAnsi" w:hAnsiTheme="minorHAnsi" w:cstheme="minorHAnsi"/>
          <w:lang w:val="en-GB"/>
        </w:rPr>
        <w:t xml:space="preserve">The review group conducted an initial assessment based on the spreadsheet provided by the association. </w:t>
      </w:r>
      <w:r w:rsidR="003113AF" w:rsidRPr="00C37024">
        <w:rPr>
          <w:rFonts w:asciiTheme="minorHAnsi" w:hAnsiTheme="minorHAnsi" w:cstheme="minorHAnsi"/>
          <w:lang w:val="en-GB"/>
        </w:rPr>
        <w:t>The</w:t>
      </w:r>
      <w:r w:rsidRPr="00C37024">
        <w:rPr>
          <w:rFonts w:asciiTheme="minorHAnsi" w:hAnsiTheme="minorHAnsi" w:cstheme="minorHAnsi"/>
          <w:lang w:val="en-GB"/>
        </w:rPr>
        <w:t xml:space="preserve"> review group considered the coverage level of every learning area</w:t>
      </w:r>
      <w:r w:rsidR="005D53B0" w:rsidRPr="00C37024">
        <w:rPr>
          <w:rFonts w:asciiTheme="minorHAnsi" w:hAnsiTheme="minorHAnsi" w:cstheme="minorHAnsi"/>
          <w:lang w:val="en-GB"/>
        </w:rPr>
        <w:t xml:space="preserve"> </w:t>
      </w:r>
      <w:r w:rsidRPr="00C37024">
        <w:rPr>
          <w:rFonts w:asciiTheme="minorHAnsi" w:hAnsiTheme="minorHAnsi" w:cstheme="minorHAnsi"/>
          <w:lang w:val="en-GB"/>
        </w:rPr>
        <w:t xml:space="preserve">and obtainment of advanced skills. </w:t>
      </w:r>
      <w:r w:rsidR="0072764A" w:rsidRPr="00C37024">
        <w:rPr>
          <w:rFonts w:asciiTheme="minorHAnsi" w:hAnsiTheme="minorHAnsi" w:cstheme="minorHAnsi"/>
          <w:lang w:val="en-GB"/>
        </w:rPr>
        <w:t xml:space="preserve">In addition, the IAP provided </w:t>
      </w:r>
      <w:r w:rsidR="00930A92" w:rsidRPr="00C37024">
        <w:rPr>
          <w:rFonts w:asciiTheme="minorHAnsi" w:hAnsiTheme="minorHAnsi" w:cstheme="minorHAnsi"/>
          <w:lang w:val="en-GB"/>
        </w:rPr>
        <w:t xml:space="preserve">with </w:t>
      </w:r>
      <w:r w:rsidR="00420192" w:rsidRPr="00C37024">
        <w:rPr>
          <w:rFonts w:asciiTheme="minorHAnsi" w:hAnsiTheme="minorHAnsi" w:cstheme="minorHAnsi"/>
          <w:lang w:val="en-GB"/>
        </w:rPr>
        <w:t xml:space="preserve">their own </w:t>
      </w:r>
      <w:r w:rsidR="00707355" w:rsidRPr="00C37024">
        <w:rPr>
          <w:rFonts w:asciiTheme="minorHAnsi" w:hAnsiTheme="minorHAnsi" w:cstheme="minorHAnsi"/>
          <w:lang w:val="en-GB"/>
        </w:rPr>
        <w:t>assessment notes mad</w:t>
      </w:r>
      <w:r w:rsidR="00613659" w:rsidRPr="00C37024">
        <w:rPr>
          <w:rFonts w:asciiTheme="minorHAnsi" w:hAnsiTheme="minorHAnsi" w:cstheme="minorHAnsi"/>
          <w:lang w:val="en-GB"/>
        </w:rPr>
        <w:t>e</w:t>
      </w:r>
      <w:r w:rsidR="00707355" w:rsidRPr="00C37024">
        <w:rPr>
          <w:rFonts w:asciiTheme="minorHAnsi" w:hAnsiTheme="minorHAnsi" w:cstheme="minorHAnsi"/>
          <w:lang w:val="en-GB"/>
        </w:rPr>
        <w:t xml:space="preserve"> for the</w:t>
      </w:r>
      <w:r w:rsidR="008F2C70" w:rsidRPr="00C37024">
        <w:rPr>
          <w:rFonts w:asciiTheme="minorHAnsi" w:hAnsiTheme="minorHAnsi" w:cstheme="minorHAnsi"/>
          <w:lang w:val="en-GB"/>
        </w:rPr>
        <w:t xml:space="preserve"> </w:t>
      </w:r>
      <w:r w:rsidR="00707355" w:rsidRPr="00C37024">
        <w:rPr>
          <w:rFonts w:asciiTheme="minorHAnsi" w:hAnsiTheme="minorHAnsi" w:cstheme="minorHAnsi"/>
          <w:lang w:val="en-GB"/>
        </w:rPr>
        <w:t>respective universities</w:t>
      </w:r>
      <w:r w:rsidR="008F2C70" w:rsidRPr="00C37024">
        <w:rPr>
          <w:rFonts w:asciiTheme="minorHAnsi" w:hAnsiTheme="minorHAnsi" w:cstheme="minorHAnsi"/>
          <w:lang w:val="en-GB"/>
        </w:rPr>
        <w:t xml:space="preserve"> and websites links for the courses. </w:t>
      </w:r>
    </w:p>
    <w:p w14:paraId="6B7927BF" w14:textId="77777777" w:rsidR="000F5D5A" w:rsidRPr="00C37024" w:rsidRDefault="000F5D5A" w:rsidP="00930A92">
      <w:pPr>
        <w:spacing w:after="0" w:line="240" w:lineRule="auto"/>
        <w:jc w:val="left"/>
        <w:rPr>
          <w:lang w:val="en-GB"/>
        </w:rPr>
      </w:pPr>
    </w:p>
    <w:p w14:paraId="061FACCE" w14:textId="77777777" w:rsidR="000F5D5A" w:rsidRPr="00C37024" w:rsidRDefault="00601B03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C37024">
        <w:rPr>
          <w:rFonts w:asciiTheme="minorHAnsi" w:hAnsiTheme="minorHAnsi" w:cstheme="minorHAnsi"/>
          <w:b/>
          <w:bCs/>
          <w:lang w:val="en-GB"/>
        </w:rPr>
        <w:t>Findings</w:t>
      </w:r>
      <w:r w:rsidRPr="00C37024">
        <w:rPr>
          <w:rFonts w:asciiTheme="minorHAnsi" w:hAnsiTheme="minorHAnsi" w:cstheme="minorHAnsi"/>
          <w:lang w:val="en-GB"/>
        </w:rPr>
        <w:t>:</w:t>
      </w:r>
      <w:r w:rsidR="00653597" w:rsidRPr="00C37024">
        <w:rPr>
          <w:rFonts w:asciiTheme="minorHAnsi" w:hAnsiTheme="minorHAnsi" w:cstheme="minorHAnsi"/>
          <w:lang w:val="en-GB"/>
        </w:rPr>
        <w:t xml:space="preserve"> </w:t>
      </w:r>
    </w:p>
    <w:p w14:paraId="08AA1451" w14:textId="6248B598" w:rsidR="000F5D5A" w:rsidRPr="00C37024" w:rsidRDefault="00FA0DB3" w:rsidP="00930A92">
      <w:pPr>
        <w:pStyle w:val="ListParagraph"/>
        <w:numPr>
          <w:ilvl w:val="0"/>
          <w:numId w:val="5"/>
        </w:numPr>
        <w:spacing w:after="0" w:line="240" w:lineRule="auto"/>
        <w:jc w:val="left"/>
        <w:rPr>
          <w:lang w:val="en-GB"/>
        </w:rPr>
      </w:pPr>
      <w:r w:rsidRPr="00C37024">
        <w:rPr>
          <w:rFonts w:asciiTheme="minorHAnsi" w:hAnsiTheme="minorHAnsi" w:cstheme="minorHAnsi"/>
          <w:lang w:val="en-GB"/>
        </w:rPr>
        <w:t>The University of Lisbon have a master program which is open for</w:t>
      </w:r>
      <w:r w:rsidR="003369D2" w:rsidRPr="00C37024">
        <w:rPr>
          <w:rFonts w:asciiTheme="minorHAnsi" w:hAnsiTheme="minorHAnsi" w:cstheme="minorHAnsi"/>
          <w:lang w:val="en-GB"/>
        </w:rPr>
        <w:t xml:space="preserve"> candidates with </w:t>
      </w:r>
      <w:r w:rsidR="002E47D6" w:rsidRPr="00C37024">
        <w:rPr>
          <w:rFonts w:asciiTheme="minorHAnsi" w:hAnsiTheme="minorHAnsi" w:cstheme="minorHAnsi"/>
          <w:lang w:val="en-GB"/>
        </w:rPr>
        <w:t xml:space="preserve">appropriate </w:t>
      </w:r>
      <w:r w:rsidR="009D5F87" w:rsidRPr="00C37024">
        <w:rPr>
          <w:rFonts w:asciiTheme="minorHAnsi" w:hAnsiTheme="minorHAnsi" w:cstheme="minorHAnsi"/>
          <w:lang w:val="en-GB"/>
        </w:rPr>
        <w:t>bachelor’s</w:t>
      </w:r>
      <w:r w:rsidRPr="00C37024">
        <w:rPr>
          <w:rFonts w:asciiTheme="minorHAnsi" w:hAnsiTheme="minorHAnsi" w:cstheme="minorHAnsi"/>
          <w:lang w:val="en-GB"/>
        </w:rPr>
        <w:t xml:space="preserve"> degree</w:t>
      </w:r>
      <w:r w:rsidR="00462023">
        <w:rPr>
          <w:rFonts w:asciiTheme="minorHAnsi" w:hAnsiTheme="minorHAnsi" w:cstheme="minorHAnsi"/>
          <w:lang w:val="en-GB"/>
        </w:rPr>
        <w:t>s</w:t>
      </w:r>
      <w:r w:rsidRPr="00C37024">
        <w:rPr>
          <w:rFonts w:asciiTheme="minorHAnsi" w:hAnsiTheme="minorHAnsi" w:cstheme="minorHAnsi"/>
          <w:lang w:val="en-GB"/>
        </w:rPr>
        <w:t xml:space="preserve"> </w:t>
      </w:r>
      <w:r w:rsidR="00CD1E12" w:rsidRPr="00C37024">
        <w:rPr>
          <w:rFonts w:asciiTheme="minorHAnsi" w:hAnsiTheme="minorHAnsi" w:cstheme="minorHAnsi"/>
          <w:lang w:val="en-GB"/>
        </w:rPr>
        <w:t>(</w:t>
      </w:r>
      <w:r w:rsidRPr="00C37024">
        <w:rPr>
          <w:rFonts w:asciiTheme="minorHAnsi" w:hAnsiTheme="minorHAnsi" w:cstheme="minorHAnsi"/>
          <w:lang w:val="en-GB"/>
        </w:rPr>
        <w:t>Mathematics, Economics, Finance or Management or other highly quantitative programme such as Statistics or Physics</w:t>
      </w:r>
      <w:r w:rsidR="00CD1E12" w:rsidRPr="00C37024">
        <w:rPr>
          <w:rFonts w:asciiTheme="minorHAnsi" w:hAnsiTheme="minorHAnsi" w:cstheme="minorHAnsi"/>
          <w:lang w:val="en-GB"/>
        </w:rPr>
        <w:t>)</w:t>
      </w:r>
      <w:r w:rsidRPr="00C37024">
        <w:rPr>
          <w:rFonts w:asciiTheme="minorHAnsi" w:hAnsiTheme="minorHAnsi" w:cstheme="minorHAnsi"/>
          <w:lang w:val="en-GB"/>
        </w:rPr>
        <w:t xml:space="preserve">. </w:t>
      </w:r>
      <w:r w:rsidR="00CC084F" w:rsidRPr="00C37024">
        <w:rPr>
          <w:rFonts w:asciiTheme="minorHAnsi" w:hAnsiTheme="minorHAnsi" w:cstheme="minorHAnsi"/>
          <w:lang w:val="en-GB"/>
        </w:rPr>
        <w:t xml:space="preserve">However, </w:t>
      </w:r>
      <w:r w:rsidR="00C37024" w:rsidRPr="00C37024">
        <w:rPr>
          <w:rFonts w:asciiTheme="minorHAnsi" w:hAnsiTheme="minorHAnsi" w:cstheme="minorHAnsi"/>
          <w:lang w:val="en-GB"/>
        </w:rPr>
        <w:t xml:space="preserve">it </w:t>
      </w:r>
      <w:r w:rsidRPr="00C37024">
        <w:rPr>
          <w:rFonts w:asciiTheme="minorHAnsi" w:hAnsiTheme="minorHAnsi" w:cstheme="minorHAnsi"/>
          <w:lang w:val="en-GB"/>
        </w:rPr>
        <w:t>require</w:t>
      </w:r>
      <w:r w:rsidR="00C37024" w:rsidRPr="00C37024">
        <w:rPr>
          <w:rFonts w:asciiTheme="minorHAnsi" w:hAnsiTheme="minorHAnsi" w:cstheme="minorHAnsi"/>
          <w:lang w:val="en-GB"/>
        </w:rPr>
        <w:t>s</w:t>
      </w:r>
      <w:r w:rsidRPr="00C37024">
        <w:rPr>
          <w:rFonts w:asciiTheme="minorHAnsi" w:hAnsiTheme="minorHAnsi" w:cstheme="minorHAnsi"/>
          <w:lang w:val="en-GB"/>
        </w:rPr>
        <w:t xml:space="preserve"> a solid academic background in Mathematical Analysis and Statistic</w:t>
      </w:r>
      <w:r w:rsidR="003369D2" w:rsidRPr="00C37024">
        <w:rPr>
          <w:rFonts w:asciiTheme="minorHAnsi" w:hAnsiTheme="minorHAnsi" w:cstheme="minorHAnsi"/>
          <w:lang w:val="en-GB"/>
        </w:rPr>
        <w:t>.</w:t>
      </w:r>
      <w:r w:rsidR="000F5D5A" w:rsidRPr="00C37024">
        <w:rPr>
          <w:rFonts w:asciiTheme="minorHAnsi" w:hAnsiTheme="minorHAnsi" w:cstheme="minorHAnsi"/>
          <w:lang w:val="en-GB"/>
        </w:rPr>
        <w:t xml:space="preserve"> The same master program in </w:t>
      </w:r>
      <w:r w:rsidR="00CA22D9">
        <w:rPr>
          <w:rFonts w:asciiTheme="minorHAnsi" w:hAnsiTheme="minorHAnsi" w:cstheme="minorHAnsi"/>
          <w:lang w:val="en-GB"/>
        </w:rPr>
        <w:t>A</w:t>
      </w:r>
      <w:r w:rsidR="000F5D5A" w:rsidRPr="00C37024">
        <w:rPr>
          <w:rFonts w:asciiTheme="minorHAnsi" w:hAnsiTheme="minorHAnsi" w:cstheme="minorHAnsi"/>
          <w:lang w:val="en-GB"/>
        </w:rPr>
        <w:t xml:space="preserve">ctuarial </w:t>
      </w:r>
      <w:r w:rsidR="00CA22D9">
        <w:rPr>
          <w:rFonts w:asciiTheme="minorHAnsi" w:hAnsiTheme="minorHAnsi" w:cstheme="minorHAnsi"/>
          <w:lang w:val="en-GB"/>
        </w:rPr>
        <w:t>S</w:t>
      </w:r>
      <w:r w:rsidR="000F5D5A" w:rsidRPr="00C37024">
        <w:rPr>
          <w:rFonts w:asciiTheme="minorHAnsi" w:hAnsiTheme="minorHAnsi" w:cstheme="minorHAnsi"/>
          <w:lang w:val="en-GB"/>
        </w:rPr>
        <w:t>cience has been approved by the Institute and Faculty of Actuaries (IFoA) for an Accreditation Agreement since 2017.</w:t>
      </w:r>
    </w:p>
    <w:p w14:paraId="055DEA58" w14:textId="77777777" w:rsidR="00027E34" w:rsidRPr="00C37024" w:rsidRDefault="00027E34" w:rsidP="00027E34">
      <w:pPr>
        <w:pStyle w:val="ListParagraph"/>
        <w:spacing w:after="0" w:line="240" w:lineRule="auto"/>
        <w:jc w:val="left"/>
        <w:rPr>
          <w:lang w:val="en-GB"/>
        </w:rPr>
      </w:pPr>
    </w:p>
    <w:p w14:paraId="0B6DBF1E" w14:textId="2D674154" w:rsidR="008E33DF" w:rsidRPr="008E33DF" w:rsidRDefault="000F5D5A" w:rsidP="008E33DF">
      <w:pPr>
        <w:pStyle w:val="ListParagraph"/>
        <w:numPr>
          <w:ilvl w:val="0"/>
          <w:numId w:val="5"/>
        </w:numPr>
        <w:spacing w:after="0" w:line="240" w:lineRule="auto"/>
        <w:jc w:val="left"/>
        <w:rPr>
          <w:lang w:val="en-GB"/>
        </w:rPr>
      </w:pPr>
      <w:r w:rsidRPr="00C37024">
        <w:rPr>
          <w:rFonts w:asciiTheme="minorHAnsi" w:hAnsiTheme="minorHAnsi" w:cstheme="minorHAnsi"/>
          <w:lang w:val="en-GB"/>
        </w:rPr>
        <w:t>At the NOVA</w:t>
      </w:r>
      <w:r w:rsidR="00DD2B7A" w:rsidRPr="00C37024">
        <w:rPr>
          <w:rFonts w:asciiTheme="minorHAnsi" w:hAnsiTheme="minorHAnsi" w:cstheme="minorHAnsi"/>
          <w:lang w:val="en-GB"/>
        </w:rPr>
        <w:t xml:space="preserve"> School of Science and Technology, </w:t>
      </w:r>
      <w:r w:rsidR="007460FA" w:rsidRPr="00C37024">
        <w:rPr>
          <w:rFonts w:asciiTheme="minorHAnsi" w:hAnsiTheme="minorHAnsi" w:cstheme="minorHAnsi"/>
          <w:lang w:val="en-GB"/>
        </w:rPr>
        <w:t xml:space="preserve">the actuarial education </w:t>
      </w:r>
      <w:r w:rsidR="00ED4414" w:rsidRPr="00C37024">
        <w:rPr>
          <w:rFonts w:asciiTheme="minorHAnsi" w:hAnsiTheme="minorHAnsi" w:cstheme="minorHAnsi"/>
          <w:lang w:val="en-GB"/>
        </w:rPr>
        <w:t xml:space="preserve">has lately been </w:t>
      </w:r>
      <w:r w:rsidR="00371FCA" w:rsidRPr="00C37024">
        <w:rPr>
          <w:rFonts w:asciiTheme="minorHAnsi" w:hAnsiTheme="minorHAnsi" w:cstheme="minorHAnsi"/>
          <w:lang w:val="en-GB"/>
        </w:rPr>
        <w:t xml:space="preserve">through </w:t>
      </w:r>
      <w:r w:rsidR="0042791E" w:rsidRPr="00C37024">
        <w:rPr>
          <w:rFonts w:asciiTheme="minorHAnsi" w:hAnsiTheme="minorHAnsi" w:cstheme="minorHAnsi"/>
          <w:lang w:val="en-GB"/>
        </w:rPr>
        <w:t>certain changes in such way as to be improved. A</w:t>
      </w:r>
      <w:r w:rsidR="00DD2B7A" w:rsidRPr="00C37024">
        <w:rPr>
          <w:rFonts w:asciiTheme="minorHAnsi" w:hAnsiTheme="minorHAnsi" w:cstheme="minorHAnsi"/>
          <w:lang w:val="en-GB"/>
        </w:rPr>
        <w:t xml:space="preserve"> new BSc </w:t>
      </w:r>
      <w:r w:rsidR="00F233F0" w:rsidRPr="00C37024">
        <w:rPr>
          <w:rFonts w:asciiTheme="minorHAnsi" w:hAnsiTheme="minorHAnsi" w:cstheme="minorHAnsi"/>
          <w:lang w:val="en-GB"/>
        </w:rPr>
        <w:t xml:space="preserve">in Applied Mathematics </w:t>
      </w:r>
      <w:r w:rsidR="00D24C19" w:rsidRPr="00C37024">
        <w:rPr>
          <w:rFonts w:asciiTheme="minorHAnsi" w:hAnsiTheme="minorHAnsi" w:cstheme="minorHAnsi"/>
          <w:lang w:val="en-GB"/>
        </w:rPr>
        <w:t xml:space="preserve">to Risk management </w:t>
      </w:r>
      <w:r w:rsidR="00F233F0" w:rsidRPr="00C37024">
        <w:rPr>
          <w:rFonts w:asciiTheme="minorHAnsi" w:hAnsiTheme="minorHAnsi" w:cstheme="minorHAnsi"/>
          <w:lang w:val="en-GB"/>
        </w:rPr>
        <w:t xml:space="preserve">was </w:t>
      </w:r>
      <w:r w:rsidR="00D24C19" w:rsidRPr="00C37024">
        <w:rPr>
          <w:rFonts w:asciiTheme="minorHAnsi" w:hAnsiTheme="minorHAnsi" w:cstheme="minorHAnsi"/>
          <w:lang w:val="en-GB"/>
        </w:rPr>
        <w:t xml:space="preserve">introduced in 2018/19 and </w:t>
      </w:r>
      <w:r w:rsidR="0054458F" w:rsidRPr="00C37024">
        <w:rPr>
          <w:rFonts w:asciiTheme="minorHAnsi" w:hAnsiTheme="minorHAnsi" w:cstheme="minorHAnsi"/>
          <w:lang w:val="en-GB"/>
        </w:rPr>
        <w:t xml:space="preserve">starting from 2021/22 a new MSc </w:t>
      </w:r>
      <w:r w:rsidR="00E47020" w:rsidRPr="00C37024">
        <w:rPr>
          <w:rFonts w:asciiTheme="minorHAnsi" w:hAnsiTheme="minorHAnsi" w:cstheme="minorHAnsi"/>
          <w:lang w:val="en-GB"/>
        </w:rPr>
        <w:t xml:space="preserve">in </w:t>
      </w:r>
      <w:r w:rsidR="0054458F" w:rsidRPr="00C37024">
        <w:rPr>
          <w:rFonts w:asciiTheme="minorHAnsi" w:hAnsiTheme="minorHAnsi" w:cstheme="minorHAnsi"/>
          <w:lang w:val="en-GB"/>
        </w:rPr>
        <w:t xml:space="preserve">Actuarial </w:t>
      </w:r>
      <w:r w:rsidR="00A94F56" w:rsidRPr="00C37024">
        <w:rPr>
          <w:rFonts w:asciiTheme="minorHAnsi" w:hAnsiTheme="minorHAnsi" w:cstheme="minorHAnsi"/>
          <w:lang w:val="en-GB"/>
        </w:rPr>
        <w:t>M</w:t>
      </w:r>
      <w:r w:rsidR="0054458F" w:rsidRPr="00C37024">
        <w:rPr>
          <w:rFonts w:asciiTheme="minorHAnsi" w:hAnsiTheme="minorHAnsi" w:cstheme="minorHAnsi"/>
          <w:lang w:val="en-GB"/>
        </w:rPr>
        <w:t xml:space="preserve">athematics. </w:t>
      </w:r>
      <w:r w:rsidR="00A17646" w:rsidRPr="00C37024">
        <w:rPr>
          <w:rFonts w:asciiTheme="minorHAnsi" w:hAnsiTheme="minorHAnsi" w:cstheme="minorHAnsi"/>
          <w:lang w:val="en-GB"/>
        </w:rPr>
        <w:t xml:space="preserve">The </w:t>
      </w:r>
      <w:r w:rsidR="005D6875" w:rsidRPr="00C37024">
        <w:rPr>
          <w:rFonts w:asciiTheme="minorHAnsi" w:hAnsiTheme="minorHAnsi" w:cstheme="minorHAnsi"/>
          <w:lang w:val="en-GB"/>
        </w:rPr>
        <w:t xml:space="preserve">aim </w:t>
      </w:r>
      <w:r w:rsidR="00A17646" w:rsidRPr="00C37024">
        <w:rPr>
          <w:rFonts w:asciiTheme="minorHAnsi" w:hAnsiTheme="minorHAnsi" w:cstheme="minorHAnsi"/>
          <w:lang w:val="en-GB"/>
        </w:rPr>
        <w:t xml:space="preserve">of </w:t>
      </w:r>
      <w:r w:rsidR="005D6875" w:rsidRPr="00C37024">
        <w:rPr>
          <w:rFonts w:asciiTheme="minorHAnsi" w:hAnsiTheme="minorHAnsi" w:cstheme="minorHAnsi"/>
          <w:lang w:val="en-GB"/>
        </w:rPr>
        <w:t>those changes was exactly to cover as much possible and comply with the AAE Core Syllabus.</w:t>
      </w:r>
      <w:r w:rsidR="00AB522A" w:rsidRPr="00C37024">
        <w:rPr>
          <w:rFonts w:asciiTheme="minorHAnsi" w:hAnsiTheme="minorHAnsi" w:cstheme="minorHAnsi"/>
          <w:lang w:val="en-GB"/>
        </w:rPr>
        <w:t xml:space="preserve"> This assessment was done </w:t>
      </w:r>
      <w:r w:rsidR="007E4F07" w:rsidRPr="00C37024">
        <w:rPr>
          <w:rFonts w:asciiTheme="minorHAnsi" w:hAnsiTheme="minorHAnsi" w:cstheme="minorHAnsi"/>
          <w:lang w:val="en-GB"/>
        </w:rPr>
        <w:t>based on</w:t>
      </w:r>
      <w:r w:rsidR="00315E44" w:rsidRPr="00C37024">
        <w:rPr>
          <w:rFonts w:asciiTheme="minorHAnsi" w:hAnsiTheme="minorHAnsi" w:cstheme="minorHAnsi"/>
          <w:lang w:val="en-GB"/>
        </w:rPr>
        <w:t xml:space="preserve"> the current curriculum. </w:t>
      </w:r>
    </w:p>
    <w:p w14:paraId="6D420B2E" w14:textId="77777777" w:rsidR="008E33DF" w:rsidRPr="008E33DF" w:rsidRDefault="008E33DF" w:rsidP="00AA61C9">
      <w:pPr>
        <w:spacing w:after="0" w:line="240" w:lineRule="auto"/>
        <w:ind w:left="708"/>
        <w:jc w:val="left"/>
        <w:rPr>
          <w:lang w:val="en-GB"/>
        </w:rPr>
      </w:pPr>
    </w:p>
    <w:p w14:paraId="7C66C6F9" w14:textId="77777777" w:rsidR="008E33DF" w:rsidRPr="008E33DF" w:rsidRDefault="008E33DF" w:rsidP="008E33DF">
      <w:pPr>
        <w:pStyle w:val="ListParagraph"/>
        <w:numPr>
          <w:ilvl w:val="0"/>
          <w:numId w:val="5"/>
        </w:num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8E33DF">
        <w:rPr>
          <w:rFonts w:asciiTheme="minorHAnsi" w:hAnsiTheme="minorHAnsi" w:cstheme="minorHAnsi"/>
          <w:iCs/>
          <w:lang w:val="en-GB"/>
        </w:rPr>
        <w:t xml:space="preserve">The ongoing improvement of certain courses at NOVA </w:t>
      </w:r>
      <w:r w:rsidRPr="008E33DF">
        <w:rPr>
          <w:rFonts w:asciiTheme="minorHAnsi" w:hAnsiTheme="minorHAnsi" w:cstheme="minorHAnsi"/>
          <w:lang w:val="en-GB"/>
        </w:rPr>
        <w:t xml:space="preserve">School of Science and Technology will take effect from 2023 (BSc) and 2026 (MSc) and should be quality assured against the Core Syllabus when the time comes. </w:t>
      </w:r>
    </w:p>
    <w:p w14:paraId="70091D50" w14:textId="77777777" w:rsidR="00027E34" w:rsidRPr="00C37024" w:rsidRDefault="00027E34" w:rsidP="00027E34">
      <w:pPr>
        <w:pStyle w:val="ListParagraph"/>
        <w:spacing w:after="0" w:line="240" w:lineRule="auto"/>
        <w:jc w:val="left"/>
        <w:rPr>
          <w:lang w:val="en-GB"/>
        </w:rPr>
      </w:pPr>
    </w:p>
    <w:p w14:paraId="193FD5E1" w14:textId="7BB93B7D" w:rsidR="009D2FAB" w:rsidRPr="001C75EE" w:rsidRDefault="009D2FAB" w:rsidP="00930A92">
      <w:pPr>
        <w:pStyle w:val="ListParagraph"/>
        <w:numPr>
          <w:ilvl w:val="0"/>
          <w:numId w:val="5"/>
        </w:numPr>
        <w:spacing w:after="0" w:line="240" w:lineRule="auto"/>
        <w:jc w:val="left"/>
        <w:rPr>
          <w:lang w:val="en-GB"/>
        </w:rPr>
      </w:pPr>
      <w:r w:rsidRPr="00C37024">
        <w:rPr>
          <w:rFonts w:asciiTheme="minorHAnsi" w:hAnsiTheme="minorHAnsi" w:cstheme="minorHAnsi"/>
          <w:lang w:val="en-GB"/>
        </w:rPr>
        <w:t xml:space="preserve">At both </w:t>
      </w:r>
      <w:r w:rsidR="00682C46" w:rsidRPr="00C37024">
        <w:rPr>
          <w:rFonts w:asciiTheme="minorHAnsi" w:hAnsiTheme="minorHAnsi" w:cstheme="minorHAnsi"/>
          <w:lang w:val="en-GB"/>
        </w:rPr>
        <w:t>universities,</w:t>
      </w:r>
      <w:r w:rsidRPr="00C37024">
        <w:rPr>
          <w:rFonts w:asciiTheme="minorHAnsi" w:hAnsiTheme="minorHAnsi" w:cstheme="minorHAnsi"/>
          <w:lang w:val="en-GB"/>
        </w:rPr>
        <w:t xml:space="preserve"> </w:t>
      </w:r>
      <w:r w:rsidR="00172A18" w:rsidRPr="00C37024">
        <w:rPr>
          <w:rFonts w:asciiTheme="minorHAnsi" w:hAnsiTheme="minorHAnsi" w:cstheme="minorHAnsi"/>
          <w:lang w:val="en-GB"/>
        </w:rPr>
        <w:t xml:space="preserve">the advanced skills are </w:t>
      </w:r>
      <w:r w:rsidR="00682C46" w:rsidRPr="00C37024">
        <w:rPr>
          <w:rFonts w:asciiTheme="minorHAnsi" w:hAnsiTheme="minorHAnsi" w:cstheme="minorHAnsi"/>
          <w:lang w:val="en-GB"/>
        </w:rPr>
        <w:t>acquired</w:t>
      </w:r>
      <w:r w:rsidR="00172A18" w:rsidRPr="00C37024">
        <w:rPr>
          <w:rFonts w:asciiTheme="minorHAnsi" w:hAnsiTheme="minorHAnsi" w:cstheme="minorHAnsi"/>
          <w:lang w:val="en-GB"/>
        </w:rPr>
        <w:t xml:space="preserve"> </w:t>
      </w:r>
      <w:r w:rsidR="00116A6C" w:rsidRPr="00C37024">
        <w:rPr>
          <w:rFonts w:asciiTheme="minorHAnsi" w:hAnsiTheme="minorHAnsi" w:cstheme="minorHAnsi"/>
          <w:lang w:val="en-GB"/>
        </w:rPr>
        <w:t xml:space="preserve">throughout a “Master Final Work” </w:t>
      </w:r>
      <w:r w:rsidR="00571B22" w:rsidRPr="00C37024">
        <w:rPr>
          <w:rFonts w:asciiTheme="minorHAnsi" w:hAnsiTheme="minorHAnsi" w:cstheme="minorHAnsi"/>
          <w:lang w:val="en-GB"/>
        </w:rPr>
        <w:t xml:space="preserve">of 30 ECTS </w:t>
      </w:r>
      <w:r w:rsidR="00C91E48" w:rsidRPr="00C37024">
        <w:rPr>
          <w:rFonts w:asciiTheme="minorHAnsi" w:hAnsiTheme="minorHAnsi" w:cstheme="minorHAnsi"/>
          <w:lang w:val="en-GB"/>
        </w:rPr>
        <w:t xml:space="preserve">where the student can opt for </w:t>
      </w:r>
      <w:r w:rsidR="001B7EB2" w:rsidRPr="00C37024">
        <w:rPr>
          <w:rFonts w:asciiTheme="minorHAnsi" w:hAnsiTheme="minorHAnsi" w:cstheme="minorHAnsi"/>
          <w:lang w:val="en-GB"/>
        </w:rPr>
        <w:t xml:space="preserve">an internship (with a report), a research </w:t>
      </w:r>
      <w:r w:rsidR="00EC10EA" w:rsidRPr="00C37024">
        <w:rPr>
          <w:rFonts w:asciiTheme="minorHAnsi" w:hAnsiTheme="minorHAnsi" w:cstheme="minorHAnsi"/>
          <w:lang w:val="en-GB"/>
        </w:rPr>
        <w:t>project</w:t>
      </w:r>
      <w:r w:rsidR="00944E1D" w:rsidRPr="00C37024">
        <w:rPr>
          <w:rFonts w:asciiTheme="minorHAnsi" w:hAnsiTheme="minorHAnsi" w:cstheme="minorHAnsi"/>
          <w:lang w:val="en-GB"/>
        </w:rPr>
        <w:t xml:space="preserve"> or dissertation within actuarial mathematics. </w:t>
      </w:r>
    </w:p>
    <w:p w14:paraId="11D0E460" w14:textId="77777777" w:rsidR="001C75EE" w:rsidRPr="001C75EE" w:rsidRDefault="001C75EE" w:rsidP="001C75EE">
      <w:pPr>
        <w:pStyle w:val="ListParagraph"/>
        <w:rPr>
          <w:lang w:val="en-GB"/>
        </w:rPr>
      </w:pPr>
    </w:p>
    <w:p w14:paraId="0C2C1290" w14:textId="668DBB68" w:rsidR="001C75EE" w:rsidRPr="001C75EE" w:rsidRDefault="001C75EE" w:rsidP="001C75EE">
      <w:pPr>
        <w:pStyle w:val="ListParagraph"/>
        <w:numPr>
          <w:ilvl w:val="0"/>
          <w:numId w:val="5"/>
        </w:numPr>
        <w:spacing w:after="0" w:line="240" w:lineRule="auto"/>
        <w:jc w:val="left"/>
        <w:rPr>
          <w:rFonts w:asciiTheme="minorHAnsi" w:hAnsiTheme="minorHAnsi" w:cstheme="minorHAnsi"/>
          <w:iCs/>
          <w:lang w:val="en-GB"/>
        </w:rPr>
      </w:pPr>
      <w:r w:rsidRPr="001C75EE">
        <w:rPr>
          <w:rFonts w:asciiTheme="minorHAnsi" w:hAnsiTheme="minorHAnsi" w:cstheme="minorHAnsi"/>
          <w:iCs/>
          <w:lang w:val="en-GB"/>
        </w:rPr>
        <w:t>The external reviewers finds that the IAP actuarial educational program fulfils the criteria for compliance with the AAE Core Syllabus.</w:t>
      </w:r>
    </w:p>
    <w:p w14:paraId="29F76EDF" w14:textId="77777777" w:rsidR="000F5D5A" w:rsidRPr="00C37024" w:rsidRDefault="000F5D5A" w:rsidP="00930A92">
      <w:pPr>
        <w:spacing w:after="0" w:line="240" w:lineRule="auto"/>
        <w:jc w:val="left"/>
        <w:rPr>
          <w:rFonts w:asciiTheme="minorHAnsi" w:hAnsiTheme="minorHAnsi" w:cstheme="minorHAnsi"/>
          <w:iCs/>
          <w:lang w:val="en-GB"/>
        </w:rPr>
      </w:pPr>
      <w:bookmarkStart w:id="0" w:name="_GoBack"/>
      <w:bookmarkEnd w:id="0"/>
    </w:p>
    <w:p w14:paraId="4215BB4F" w14:textId="5177947D" w:rsidR="006D6E46" w:rsidRDefault="009142A1" w:rsidP="00930A92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  <w:r w:rsidRPr="00C37024">
        <w:rPr>
          <w:rFonts w:asciiTheme="minorHAnsi" w:hAnsiTheme="minorHAnsi" w:cstheme="minorHAnsi"/>
          <w:b/>
          <w:bCs/>
          <w:lang w:val="en-GB"/>
        </w:rPr>
        <w:t>Recommendation</w:t>
      </w:r>
      <w:r w:rsidR="001C75EE">
        <w:rPr>
          <w:rFonts w:asciiTheme="minorHAnsi" w:hAnsiTheme="minorHAnsi" w:cstheme="minorHAnsi"/>
          <w:lang w:val="en-GB"/>
        </w:rPr>
        <w:t>:</w:t>
      </w:r>
    </w:p>
    <w:p w14:paraId="501146B7" w14:textId="30618AA4" w:rsidR="001C75EE" w:rsidRPr="00CE4493" w:rsidRDefault="001C75EE" w:rsidP="001C75EE">
      <w:pPr>
        <w:spacing w:after="0" w:line="240" w:lineRule="auto"/>
        <w:rPr>
          <w:rFonts w:asciiTheme="minorHAnsi" w:hAnsiTheme="minorHAnsi" w:cstheme="minorHAnsi"/>
          <w:i/>
          <w:lang w:val="en-GB"/>
        </w:rPr>
      </w:pPr>
      <w:r>
        <w:rPr>
          <w:rFonts w:asciiTheme="minorHAnsi" w:hAnsiTheme="minorHAnsi" w:cstheme="minorHAnsi"/>
          <w:lang w:val="en-GB"/>
        </w:rPr>
        <w:t xml:space="preserve">We recommend approval of AAE Core Syllabus compliancy for </w:t>
      </w:r>
      <w:r w:rsidRPr="00CE4493">
        <w:rPr>
          <w:rFonts w:asciiTheme="minorHAnsi" w:hAnsiTheme="minorHAnsi" w:cstheme="minorHAnsi"/>
          <w:lang w:val="en-GB"/>
        </w:rPr>
        <w:t xml:space="preserve">the </w:t>
      </w:r>
      <w:r w:rsidRPr="00CE4493">
        <w:rPr>
          <w:rFonts w:ascii="Calibri" w:eastAsia="Times New Roman" w:hAnsi="Calibri" w:cs="Calibri"/>
          <w:color w:val="000000"/>
          <w:sz w:val="22"/>
          <w:lang w:val="fr-FR"/>
        </w:rPr>
        <w:t>Instituto dos Actuários Portugueses</w:t>
      </w:r>
      <w:r w:rsidRPr="00CE4493">
        <w:rPr>
          <w:rFonts w:asciiTheme="minorHAnsi" w:hAnsiTheme="minorHAnsi" w:cstheme="minorHAnsi"/>
          <w:i/>
          <w:lang w:val="en-GB"/>
        </w:rPr>
        <w:t>.</w:t>
      </w:r>
    </w:p>
    <w:p w14:paraId="12ED725E" w14:textId="3209D74C" w:rsidR="002775D7" w:rsidRPr="00C37024" w:rsidRDefault="002775D7" w:rsidP="00114041">
      <w:pPr>
        <w:spacing w:after="0" w:line="240" w:lineRule="auto"/>
        <w:jc w:val="left"/>
        <w:rPr>
          <w:rFonts w:asciiTheme="minorHAnsi" w:hAnsiTheme="minorHAnsi" w:cstheme="minorHAnsi"/>
          <w:lang w:val="en-GB"/>
        </w:rPr>
      </w:pPr>
    </w:p>
    <w:sectPr w:rsidR="002775D7" w:rsidRPr="00C370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9A877" w14:textId="77777777" w:rsidR="009930E2" w:rsidRDefault="009930E2" w:rsidP="00865EA5">
      <w:pPr>
        <w:spacing w:after="0" w:line="240" w:lineRule="auto"/>
      </w:pPr>
      <w:r>
        <w:separator/>
      </w:r>
    </w:p>
  </w:endnote>
  <w:endnote w:type="continuationSeparator" w:id="0">
    <w:p w14:paraId="59A8E79A" w14:textId="77777777" w:rsidR="009930E2" w:rsidRDefault="009930E2" w:rsidP="00865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04A73" w14:textId="77777777" w:rsidR="009930E2" w:rsidRDefault="009930E2" w:rsidP="00865EA5">
      <w:pPr>
        <w:spacing w:after="0" w:line="240" w:lineRule="auto"/>
      </w:pPr>
      <w:r>
        <w:separator/>
      </w:r>
    </w:p>
  </w:footnote>
  <w:footnote w:type="continuationSeparator" w:id="0">
    <w:p w14:paraId="012B72FA" w14:textId="77777777" w:rsidR="009930E2" w:rsidRDefault="009930E2" w:rsidP="00865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25F15"/>
    <w:multiLevelType w:val="hybridMultilevel"/>
    <w:tmpl w:val="1CB47378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E19CE"/>
    <w:multiLevelType w:val="hybridMultilevel"/>
    <w:tmpl w:val="386A8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33BBE"/>
    <w:multiLevelType w:val="hybridMultilevel"/>
    <w:tmpl w:val="1E3C3700"/>
    <w:lvl w:ilvl="0" w:tplc="0414000F">
      <w:start w:val="1"/>
      <w:numFmt w:val="decimal"/>
      <w:lvlText w:val="%1."/>
      <w:lvlJc w:val="left"/>
      <w:pPr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946432"/>
    <w:multiLevelType w:val="hybridMultilevel"/>
    <w:tmpl w:val="68B6668A"/>
    <w:lvl w:ilvl="0" w:tplc="CE20394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AA"/>
    <w:rsid w:val="000002DB"/>
    <w:rsid w:val="000046AB"/>
    <w:rsid w:val="00027E34"/>
    <w:rsid w:val="00095C9D"/>
    <w:rsid w:val="000A02A7"/>
    <w:rsid w:val="000A5A8D"/>
    <w:rsid w:val="000F5D5A"/>
    <w:rsid w:val="001102AA"/>
    <w:rsid w:val="00114041"/>
    <w:rsid w:val="001152BF"/>
    <w:rsid w:val="00116A6C"/>
    <w:rsid w:val="0016226A"/>
    <w:rsid w:val="00172A18"/>
    <w:rsid w:val="001B7EB2"/>
    <w:rsid w:val="001C75EE"/>
    <w:rsid w:val="001E392B"/>
    <w:rsid w:val="00215B64"/>
    <w:rsid w:val="002368D2"/>
    <w:rsid w:val="00265BA6"/>
    <w:rsid w:val="00274C1F"/>
    <w:rsid w:val="002775D7"/>
    <w:rsid w:val="002931A4"/>
    <w:rsid w:val="002B50B5"/>
    <w:rsid w:val="002C70FA"/>
    <w:rsid w:val="002D252A"/>
    <w:rsid w:val="002D4959"/>
    <w:rsid w:val="002E47D6"/>
    <w:rsid w:val="003025F4"/>
    <w:rsid w:val="00303CD3"/>
    <w:rsid w:val="003113AF"/>
    <w:rsid w:val="00311A1E"/>
    <w:rsid w:val="00315E44"/>
    <w:rsid w:val="003369D2"/>
    <w:rsid w:val="00371FCA"/>
    <w:rsid w:val="003A06EA"/>
    <w:rsid w:val="003A5C78"/>
    <w:rsid w:val="003A7C37"/>
    <w:rsid w:val="003E2DC0"/>
    <w:rsid w:val="00420192"/>
    <w:rsid w:val="0042791E"/>
    <w:rsid w:val="004322F7"/>
    <w:rsid w:val="00462023"/>
    <w:rsid w:val="00472DCE"/>
    <w:rsid w:val="00475347"/>
    <w:rsid w:val="00514AF0"/>
    <w:rsid w:val="005203F6"/>
    <w:rsid w:val="0054458F"/>
    <w:rsid w:val="00562FBA"/>
    <w:rsid w:val="00571B22"/>
    <w:rsid w:val="00584BF2"/>
    <w:rsid w:val="005C48E0"/>
    <w:rsid w:val="005D53B0"/>
    <w:rsid w:val="005D5A4E"/>
    <w:rsid w:val="005D6875"/>
    <w:rsid w:val="005F3335"/>
    <w:rsid w:val="00601B03"/>
    <w:rsid w:val="00613659"/>
    <w:rsid w:val="00630633"/>
    <w:rsid w:val="00635273"/>
    <w:rsid w:val="00653597"/>
    <w:rsid w:val="00653804"/>
    <w:rsid w:val="00655525"/>
    <w:rsid w:val="00682671"/>
    <w:rsid w:val="00682C46"/>
    <w:rsid w:val="006A1931"/>
    <w:rsid w:val="006A6431"/>
    <w:rsid w:val="006A654D"/>
    <w:rsid w:val="006B39FB"/>
    <w:rsid w:val="006D6E46"/>
    <w:rsid w:val="00703A64"/>
    <w:rsid w:val="00707355"/>
    <w:rsid w:val="0072764A"/>
    <w:rsid w:val="007460FA"/>
    <w:rsid w:val="00771F0B"/>
    <w:rsid w:val="007742D3"/>
    <w:rsid w:val="00790538"/>
    <w:rsid w:val="007A6CCE"/>
    <w:rsid w:val="007B766E"/>
    <w:rsid w:val="007D07CC"/>
    <w:rsid w:val="007E4F07"/>
    <w:rsid w:val="00825282"/>
    <w:rsid w:val="00862792"/>
    <w:rsid w:val="00865EA5"/>
    <w:rsid w:val="00882F5E"/>
    <w:rsid w:val="008905BC"/>
    <w:rsid w:val="00890B49"/>
    <w:rsid w:val="00895934"/>
    <w:rsid w:val="008E33DF"/>
    <w:rsid w:val="008E4251"/>
    <w:rsid w:val="008F2C70"/>
    <w:rsid w:val="009061CE"/>
    <w:rsid w:val="009142A1"/>
    <w:rsid w:val="00930A92"/>
    <w:rsid w:val="00944E1D"/>
    <w:rsid w:val="00947455"/>
    <w:rsid w:val="0096384A"/>
    <w:rsid w:val="00982C08"/>
    <w:rsid w:val="009930E2"/>
    <w:rsid w:val="00996B5A"/>
    <w:rsid w:val="009A15E8"/>
    <w:rsid w:val="009A363F"/>
    <w:rsid w:val="009A52B1"/>
    <w:rsid w:val="009D2DE5"/>
    <w:rsid w:val="009D2FAB"/>
    <w:rsid w:val="009D5F87"/>
    <w:rsid w:val="009E53D7"/>
    <w:rsid w:val="00A17646"/>
    <w:rsid w:val="00A93205"/>
    <w:rsid w:val="00A94F56"/>
    <w:rsid w:val="00AA61C9"/>
    <w:rsid w:val="00AB23C4"/>
    <w:rsid w:val="00AB522A"/>
    <w:rsid w:val="00AE3D0D"/>
    <w:rsid w:val="00AF4D1F"/>
    <w:rsid w:val="00B24990"/>
    <w:rsid w:val="00B40CEA"/>
    <w:rsid w:val="00B62A01"/>
    <w:rsid w:val="00B82DDE"/>
    <w:rsid w:val="00BC574A"/>
    <w:rsid w:val="00BD682F"/>
    <w:rsid w:val="00C14FA5"/>
    <w:rsid w:val="00C35BDE"/>
    <w:rsid w:val="00C37024"/>
    <w:rsid w:val="00C6145A"/>
    <w:rsid w:val="00C83067"/>
    <w:rsid w:val="00C91E48"/>
    <w:rsid w:val="00C942A6"/>
    <w:rsid w:val="00CA22D9"/>
    <w:rsid w:val="00CA2D09"/>
    <w:rsid w:val="00CC084F"/>
    <w:rsid w:val="00CC468E"/>
    <w:rsid w:val="00CD1E12"/>
    <w:rsid w:val="00CD42A1"/>
    <w:rsid w:val="00CE4493"/>
    <w:rsid w:val="00D13179"/>
    <w:rsid w:val="00D16E56"/>
    <w:rsid w:val="00D20DFE"/>
    <w:rsid w:val="00D24C19"/>
    <w:rsid w:val="00D64FC5"/>
    <w:rsid w:val="00D776F5"/>
    <w:rsid w:val="00D9118C"/>
    <w:rsid w:val="00DC10E3"/>
    <w:rsid w:val="00DD2B7A"/>
    <w:rsid w:val="00DD6487"/>
    <w:rsid w:val="00DE342C"/>
    <w:rsid w:val="00DF2E9A"/>
    <w:rsid w:val="00DF445A"/>
    <w:rsid w:val="00E20A9E"/>
    <w:rsid w:val="00E21CD5"/>
    <w:rsid w:val="00E4168A"/>
    <w:rsid w:val="00E47020"/>
    <w:rsid w:val="00E6129C"/>
    <w:rsid w:val="00E81553"/>
    <w:rsid w:val="00E87803"/>
    <w:rsid w:val="00EA6EBA"/>
    <w:rsid w:val="00EA71E2"/>
    <w:rsid w:val="00EC03DA"/>
    <w:rsid w:val="00EC10EA"/>
    <w:rsid w:val="00ED4414"/>
    <w:rsid w:val="00EE54C5"/>
    <w:rsid w:val="00EF070B"/>
    <w:rsid w:val="00F003C3"/>
    <w:rsid w:val="00F06440"/>
    <w:rsid w:val="00F233F0"/>
    <w:rsid w:val="00F95289"/>
    <w:rsid w:val="00FA0DB3"/>
    <w:rsid w:val="00FB1DB1"/>
    <w:rsid w:val="00FC54FD"/>
    <w:rsid w:val="00FC6E82"/>
    <w:rsid w:val="00FD415E"/>
    <w:rsid w:val="00FE4129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389</Words>
  <Characters>2154</Characters>
  <Application>Microsoft Office Word</Application>
  <DocSecurity>0</DocSecurity>
  <Lines>47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Aktuarvereinigung DAV e.V.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Christian Furrer</cp:lastModifiedBy>
  <cp:revision>123</cp:revision>
  <dcterms:created xsi:type="dcterms:W3CDTF">2022-09-15T07:11:00Z</dcterms:created>
  <dcterms:modified xsi:type="dcterms:W3CDTF">2022-09-28T11:39:00Z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MSIP_Label_cb91ea28-dca1-4266-a4f7-ebceb983bddc_Enabled">
    <vt:lpwstr>true</vt:lpwstr>
  </property>
  <property fmtid="{D5CDD505-2E9C-101B-9397-08002B2CF9AE}" pid="4" name="MSIP_Label_cb91ea28-dca1-4266-a4f7-ebceb983bddc_SetDate">
    <vt:lpwstr>2022-09-15T07:11:29Z</vt:lpwstr>
  </property>
  <property fmtid="{D5CDD505-2E9C-101B-9397-08002B2CF9AE}" pid="5" name="MSIP_Label_cb91ea28-dca1-4266-a4f7-ebceb983bddc_Method">
    <vt:lpwstr>Privileged</vt:lpwstr>
  </property>
  <property fmtid="{D5CDD505-2E9C-101B-9397-08002B2CF9AE}" pid="6" name="MSIP_Label_cb91ea28-dca1-4266-a4f7-ebceb983bddc_Name">
    <vt:lpwstr>Public</vt:lpwstr>
  </property>
  <property fmtid="{D5CDD505-2E9C-101B-9397-08002B2CF9AE}" pid="7" name="MSIP_Label_cb91ea28-dca1-4266-a4f7-ebceb983bddc_SiteId">
    <vt:lpwstr>4cbfea0a-b872-47f0-b51c-1c64953c3f0b</vt:lpwstr>
  </property>
  <property fmtid="{D5CDD505-2E9C-101B-9397-08002B2CF9AE}" pid="8" name="MSIP_Label_cb91ea28-dca1-4266-a4f7-ebceb983bddc_ActionId">
    <vt:lpwstr>da6e117b-e556-4ec7-b709-1440cae2afa0</vt:lpwstr>
  </property>
  <property fmtid="{D5CDD505-2E9C-101B-9397-08002B2CF9AE}" pid="9" name="MSIP_Label_cb91ea28-dca1-4266-a4f7-ebceb983bddc_ContentBits">
    <vt:lpwstr>0</vt:lpwstr>
  </property>
</Properties>
</file>